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Аналитический отчет по итогам анкетирования и проведения викторины для участников курса “Россия начинается здесь”, а также сотрудников и волонтеров СО НКО, и педагогов интернатных учреждений. 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Подготовила психолог-методист Горовая А.С.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того, чтобы оценить эффективность курса, мы использовали методику диагностики мотивации учения и эмоционального отношения к учению в средних и старших классах школы (Спилберг - Андреева), а также нами были были разработаны анкеты обратной связи, позволяющие ретроспективно оценить изменения, произошедшие за период освоения программы. 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numPr>
          <w:ilvl w:val="0"/>
          <w:numId w:val="3"/>
        </w:numPr>
        <w:spacing w:before="480" w:line="240" w:lineRule="auto"/>
        <w:ind w:left="720" w:right="-540" w:hanging="360"/>
        <w:jc w:val="both"/>
        <w:rPr>
          <w:sz w:val="24"/>
          <w:szCs w:val="24"/>
        </w:rPr>
      </w:pPr>
      <w:bookmarkStart w:colFirst="0" w:colLast="0" w:name="_tj6wrkfvk64j" w:id="0"/>
      <w:bookmarkEnd w:id="0"/>
      <w:r w:rsidDel="00000000" w:rsidR="00000000" w:rsidRPr="00000000">
        <w:rPr>
          <w:sz w:val="24"/>
          <w:szCs w:val="24"/>
          <w:rtl w:val="0"/>
        </w:rPr>
        <w:t xml:space="preserve">МЕТОДИКА ДИАГНОСТИКИ</w:t>
        <w:br w:type="textWrapping"/>
        <w:t xml:space="preserve">МОТИВАЦИИ УЧЕНИЯ И ЭМОЦИОНАЛЬНОГО ОТНОШЕНИЯ К УЧЕНИЮ В СРЕДНИХ И СТАРШИХ КЛАССАХ ШКОЛЫ Спилберг-Андреева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Предлагаемый метод диагностики мотивации учения и эмоционального отношения к учению основан на опроснике Ч.Д. Спилберга, направленном на изучение уровней познавательной активности, тревожности и гнева как актуальных состояний и как свойств личности (State-Trait Personality Inventory). Модификация опросника для изучения эмоционального отношения к учению для использования в России осуществлена А.Д. Андреевой (1987). Настоящий вариант дополнен шкалой переживания успеха (мотивации достижения), новым вариантом обработки. Апробация и нормирование проведены в 2002-2003 гг.</w:t>
      </w:r>
    </w:p>
    <w:p w:rsidR="00000000" w:rsidDel="00000000" w:rsidP="00000000" w:rsidRDefault="00000000" w:rsidRPr="00000000" w14:paraId="00000008">
      <w:pPr>
        <w:spacing w:after="240" w:before="240" w:lineRule="auto"/>
        <w:ind w:left="708.6614173228347" w:hanging="283.464566929133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Выделяются следующие уровни мотивации учения: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afterAutospacing="0" w:befor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уровень – продуктивная мотивация с выраженным преобладанием познавательной мотивации учения и положительным эмоциональным отношением к нему;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II уровень – продуктивная мотивация, позитивное отношение к учению, соответствие социальному нормативу;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III уровень – средний уровень с несколько сниженной познавательной мотивацией;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IV уровень – сниженная мотивация, переживание «школьной скуки», отрицательное эмоциональное отношение к учению;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4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 уровень – резко отрицательное отношение к учению.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тестировании приняло участие 208 человек от 10 до 18 лет (124 мальчика и 84 девочки). Тестирование проводилось вначале программы и после ее окончания.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Были получены следующие результаты: </w:t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670300"/>
            <wp:effectExtent b="0" l="0" r="0" t="0"/>
            <wp:docPr descr="Диаграмма" id="18" name="image9.png"/>
            <a:graphic>
              <a:graphicData uri="http://schemas.openxmlformats.org/drawingml/2006/picture">
                <pic:pic>
                  <pic:nvPicPr>
                    <pic:cNvPr descr="Диаграмма"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Таким образом, мы видим, что у участников курса снизилось количество подростков с резко отрицательным отношением к учению; снизилось количество подростков со сниженной мотивацией, переживанием «школьной скуки», отрицательным эмоциональным отношением к учению; значительно возросло количество подростков с несколько сниженной познавательной мотивацией. </w:t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Также мы провели сравнительный анализ компонентов эмоционального отношения к учению. Были получены следующие результаты: </w:t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670300"/>
            <wp:effectExtent b="0" l="0" r="0" t="0"/>
            <wp:docPr descr="Диаграмма" id="11" name="image6.png"/>
            <a:graphic>
              <a:graphicData uri="http://schemas.openxmlformats.org/drawingml/2006/picture">
                <pic:pic>
                  <pic:nvPicPr>
                    <pic:cNvPr descr="Диаграмма"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видим, что значительно снизилось количество подростков с низким уровнем познавательной активности и возросло количество подростков с высоким уровнем познавательной активности. </w:t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683000"/>
            <wp:effectExtent b="0" l="0" r="0" t="0"/>
            <wp:docPr descr="Диаграмма" id="8" name="image2.png"/>
            <a:graphic>
              <a:graphicData uri="http://schemas.openxmlformats.org/drawingml/2006/picture">
                <pic:pic>
                  <pic:nvPicPr>
                    <pic:cNvPr descr="Диаграмма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Снизилось количество подростков с низким уровнем мотивации достижения, и возросло количество подростков со средним и высоким уровнем мотивации достижения. </w:t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670300"/>
            <wp:effectExtent b="0" l="0" r="0" t="0"/>
            <wp:docPr descr="Диаграмма" id="9" name="image14.png"/>
            <a:graphic>
              <a:graphicData uri="http://schemas.openxmlformats.org/drawingml/2006/picture">
                <pic:pic>
                  <pic:nvPicPr>
                    <pic:cNvPr descr="Диаграмма" id="0" name="image1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Незначительно снизилось количество подростков с высоким уровнем тревожности, возросло количество подростков со средним уровнем тревожности и снизилось количество подростков с низким уровнем тревожности.</w:t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670300"/>
            <wp:effectExtent b="0" l="0" r="0" t="0"/>
            <wp:docPr descr="Диаграмма" id="4" name="image10.png"/>
            <a:graphic>
              <a:graphicData uri="http://schemas.openxmlformats.org/drawingml/2006/picture">
                <pic:pic>
                  <pic:nvPicPr>
                    <pic:cNvPr descr="Диаграмма"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Снизилось количество подростков с низким уровнем гнева, возросло количество подростков со средним уровнем и незначительно снизилось количество подростков с высоким уровнем гнева. </w:t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Таким образом, можно сделать вывод, что у участников программы произошло повышения уровня мотивации учения, что связано в первую очередь с повышением познавательной активности и мотивации достижения. Изменения эмоциональных компонентов “тревожность” и “гнев” требуют отдельного изучения. </w:t>
      </w:r>
    </w:p>
    <w:p w:rsidR="00000000" w:rsidDel="00000000" w:rsidP="00000000" w:rsidRDefault="00000000" w:rsidRPr="00000000" w14:paraId="00000026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3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Анализ ответов на анкеты обратной связи.</w:t>
      </w:r>
    </w:p>
    <w:p w:rsidR="00000000" w:rsidDel="00000000" w:rsidP="00000000" w:rsidRDefault="00000000" w:rsidRPr="00000000" w14:paraId="0000002A">
      <w:pPr>
        <w:pageBreakBefore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опросе приняли участие 422 подростка из четырнадцати регионов. 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Оценка удовлетворенности благополучателей.</w:t>
      </w:r>
    </w:p>
    <w:p w:rsidR="00000000" w:rsidDel="00000000" w:rsidP="00000000" w:rsidRDefault="00000000" w:rsidRPr="00000000" w14:paraId="0000002D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Мы попросили подростков оценить насколько курс был для них интересным и полезным по шкале от одного до пяти, где 1 - абсолютно не интересно/абсолютно бесполезно, 5- полностью интересно/ полностью полезна. Ответы распределились следующим образом:</w:t>
      </w:r>
    </w:p>
    <w:p w:rsidR="00000000" w:rsidDel="00000000" w:rsidP="00000000" w:rsidRDefault="00000000" w:rsidRPr="00000000" w14:paraId="0000002E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943600" cy="2794000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82,2 % респондентов (347) оценили курс как интересный и крайне интересный (оценки 4 и 5)</w:t>
      </w:r>
    </w:p>
    <w:p w:rsidR="00000000" w:rsidDel="00000000" w:rsidP="00000000" w:rsidRDefault="00000000" w:rsidRPr="00000000" w14:paraId="00000031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943600" cy="2705100"/>
            <wp:effectExtent b="0" l="0" r="0" t="0"/>
            <wp:docPr id="1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81,3% респондентов (343) оценили программу как полезную и крайне полезную (оценки 4 и 5)</w:t>
      </w:r>
    </w:p>
    <w:p w:rsidR="00000000" w:rsidDel="00000000" w:rsidP="00000000" w:rsidRDefault="00000000" w:rsidRPr="00000000" w14:paraId="00000034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7"/>
        </w:numPr>
        <w:ind w:left="720" w:hanging="36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Оценка изменения уровня мотивации учебной деятельности.</w:t>
      </w:r>
    </w:p>
    <w:p w:rsidR="00000000" w:rsidDel="00000000" w:rsidP="00000000" w:rsidRDefault="00000000" w:rsidRPr="00000000" w14:paraId="00000037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Нами было выделено три критерия, по которым мы оценивали учебную деятельность: 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5"/>
        </w:numPr>
        <w:ind w:left="1440" w:hanging="36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Интерес к учебе.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5"/>
        </w:numPr>
        <w:ind w:left="1440" w:hanging="36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Выполнение домашних заданий.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5"/>
        </w:numPr>
        <w:ind w:left="1440" w:hanging="36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Поиск новой информации.</w:t>
      </w:r>
    </w:p>
    <w:p w:rsidR="00000000" w:rsidDel="00000000" w:rsidP="00000000" w:rsidRDefault="00000000" w:rsidRPr="00000000" w14:paraId="0000003B">
      <w:pPr>
        <w:pageBreakBefore w:val="0"/>
        <w:ind w:left="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Подросткам предлагалось оценить изменения по каждому критерию по шкале от 1 до 5. В качестве показателя успешного результата мы рассматриваем то, что участник поставил себе не менее трех баллов по предложенной шкале.</w:t>
      </w:r>
    </w:p>
    <w:p w:rsidR="00000000" w:rsidDel="00000000" w:rsidP="00000000" w:rsidRDefault="00000000" w:rsidRPr="00000000" w14:paraId="0000003D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943600" cy="2603500"/>
            <wp:effectExtent b="0" l="0" r="0" t="0"/>
            <wp:docPr id="17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90,1% респондентов отмечают, что им стало интереснее учиться (из них 59,3% поставили баллы 4 и 5, что свидетельствует о высоком уровне изменения).</w:t>
      </w:r>
    </w:p>
    <w:p w:rsidR="00000000" w:rsidDel="00000000" w:rsidP="00000000" w:rsidRDefault="00000000" w:rsidRPr="00000000" w14:paraId="00000040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943600" cy="2616200"/>
            <wp:effectExtent b="0" l="0" r="0" t="0"/>
            <wp:docPr id="13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83,4% респондентов отмечают, что им стало проще делать домашнее задание (51,9% ответивших поставили баллы 4 и 5, что соотносится с высоким уровнем изменений)</w:t>
      </w:r>
    </w:p>
    <w:p w:rsidR="00000000" w:rsidDel="00000000" w:rsidP="00000000" w:rsidRDefault="00000000" w:rsidRPr="00000000" w14:paraId="00000043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943600" cy="2565400"/>
            <wp:effectExtent b="0" l="0" r="0" t="0"/>
            <wp:docPr id="1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88,6% ответивших считают, что у них появилось желание искать новую информацию (из них 65,9% отмечают высокий уровень изменений - баллы 4 и 5)</w:t>
      </w:r>
    </w:p>
    <w:p w:rsidR="00000000" w:rsidDel="00000000" w:rsidP="00000000" w:rsidRDefault="00000000" w:rsidRPr="00000000" w14:paraId="00000046">
      <w:pPr>
        <w:pageBreakBefore w:val="0"/>
        <w:ind w:left="81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Таким образом, значимая часть участников программы, не менее 85% (358) отмечает положительное изменение уровня учебной мотивации.</w:t>
      </w:r>
    </w:p>
    <w:p w:rsidR="00000000" w:rsidDel="00000000" w:rsidP="00000000" w:rsidRDefault="00000000" w:rsidRPr="00000000" w14:paraId="00000049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7"/>
        </w:numPr>
        <w:ind w:left="720" w:hanging="36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Интерес к изучению своего региона и страны в целом</w:t>
      </w:r>
    </w:p>
    <w:p w:rsidR="00000000" w:rsidDel="00000000" w:rsidP="00000000" w:rsidRDefault="00000000" w:rsidRPr="00000000" w14:paraId="0000004D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943600" cy="2489200"/>
            <wp:effectExtent b="0" l="0" r="0" t="0"/>
            <wp:docPr id="6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90,4% опрошенных (378) отметили, что после курса им хочется больше узнать о своем регионе и стране, (из них 68,9% отмечают высокий уровень изменений - баллы 4 и 5). </w:t>
      </w:r>
    </w:p>
    <w:p w:rsidR="00000000" w:rsidDel="00000000" w:rsidP="00000000" w:rsidRDefault="00000000" w:rsidRPr="00000000" w14:paraId="0000004F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7"/>
        </w:numPr>
        <w:ind w:left="720" w:hanging="36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Заинтересованность в интерактивных формах обучения и доверие к курсу.</w:t>
      </w:r>
    </w:p>
    <w:p w:rsidR="00000000" w:rsidDel="00000000" w:rsidP="00000000" w:rsidRDefault="00000000" w:rsidRPr="00000000" w14:paraId="00000051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Для того, чтобы понять, насколько подростки заинтересованы в интерактивных формах обучения мы спросили об их готовности принять участие в подобных мероприятиях еще раз. </w:t>
      </w:r>
    </w:p>
    <w:p w:rsidR="00000000" w:rsidDel="00000000" w:rsidP="00000000" w:rsidRDefault="00000000" w:rsidRPr="00000000" w14:paraId="00000052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Нами были получены следующие ответы:</w:t>
      </w:r>
    </w:p>
    <w:p w:rsidR="00000000" w:rsidDel="00000000" w:rsidP="00000000" w:rsidRDefault="00000000" w:rsidRPr="00000000" w14:paraId="00000053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943600" cy="2311400"/>
            <wp:effectExtent b="0" l="0" r="0" t="0"/>
            <wp:docPr id="5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Таким образом, большинство опрошенных участников курса доверяют интерактивных образовательным методам и заинтересованы в продолжении игровых занятий. Мы можем сделать вывод об актуальности подобных проектов и необходимости выделения средств на их финансирование.</w:t>
      </w:r>
    </w:p>
    <w:p w:rsidR="00000000" w:rsidDel="00000000" w:rsidP="00000000" w:rsidRDefault="00000000" w:rsidRPr="00000000" w14:paraId="00000055">
      <w:pPr>
        <w:pageBreakBefore w:val="0"/>
        <w:ind w:left="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7"/>
        </w:numPr>
        <w:ind w:left="720" w:hanging="36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Проверка освоения программного материала и уровня эрудиции участников программы. </w:t>
      </w:r>
    </w:p>
    <w:p w:rsidR="00000000" w:rsidDel="00000000" w:rsidP="00000000" w:rsidRDefault="00000000" w:rsidRPr="00000000" w14:paraId="00000058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того, чтобы оценить прирост знаний мы задали участникам вопросы о том, сколько в России федеральных округов, в каком округе они живут,  и что они знают об истории и географии своего округа. </w:t>
      </w:r>
    </w:p>
    <w:p w:rsidR="00000000" w:rsidDel="00000000" w:rsidP="00000000" w:rsidRDefault="00000000" w:rsidRPr="00000000" w14:paraId="0000005A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в начале правильные и содержательные ответы дали 28,2% опрошенных, то в исходящем опросе правильные содержательные ответы дали 81% респондентов (341 человек). </w:t>
      </w:r>
    </w:p>
    <w:p w:rsidR="00000000" w:rsidDel="00000000" w:rsidP="00000000" w:rsidRDefault="00000000" w:rsidRPr="00000000" w14:paraId="0000005B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670300"/>
            <wp:effectExtent b="0" l="0" r="0" t="0"/>
            <wp:docPr descr="Диаграмма" id="7" name="image1.png"/>
            <a:graphic>
              <a:graphicData uri="http://schemas.openxmlformats.org/drawingml/2006/picture">
                <pic:pic>
                  <pic:nvPicPr>
                    <pic:cNvPr descr="Диаграмма"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Также для оценки уровня эрудиции мы провели викторину-квиз на платформе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myquiz.ru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В викторине принимали участие 13 команд из восьми регионов, в которых реализовывалась программа. Всего в викторине принял участие 101 человек. Командный зачет не позволяет оценить индивидуальный уровень эрудиции каждого участника, но повышает мотивацию подростков к участию в мероприятии.</w:t>
      </w:r>
    </w:p>
    <w:p w:rsidR="00000000" w:rsidDel="00000000" w:rsidP="00000000" w:rsidRDefault="00000000" w:rsidRPr="00000000" w14:paraId="0000005F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Всего в тесте было 20 вопросов, разделенных по уровню сложности на 4 блока: от простых до самых сложных.</w:t>
      </w:r>
    </w:p>
    <w:p w:rsidR="00000000" w:rsidDel="00000000" w:rsidP="00000000" w:rsidRDefault="00000000" w:rsidRPr="00000000" w14:paraId="00000060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По итогам проведения викторины были получены следующие результаты:</w:t>
      </w:r>
    </w:p>
    <w:p w:rsidR="00000000" w:rsidDel="00000000" w:rsidP="00000000" w:rsidRDefault="00000000" w:rsidRPr="00000000" w14:paraId="00000063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На 80% вопросов правильно ответило не менее 66% участников</w:t>
      </w:r>
    </w:p>
    <w:p w:rsidR="00000000" w:rsidDel="00000000" w:rsidP="00000000" w:rsidRDefault="00000000" w:rsidRPr="00000000" w14:paraId="00000064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Необходимо отметить, что 26,7% ответов - это минимальный результат, который продемонстрировали команды-участницы.</w:t>
      </w:r>
    </w:p>
    <w:p w:rsidR="00000000" w:rsidDel="00000000" w:rsidP="00000000" w:rsidRDefault="00000000" w:rsidRPr="00000000" w14:paraId="00000066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Можно сделать вывод, что средний и высокий уровень эрудиции демонстрирует не менее 60% команд-участниц викторины.</w:t>
      </w:r>
    </w:p>
    <w:p w:rsidR="00000000" w:rsidDel="00000000" w:rsidP="00000000" w:rsidRDefault="00000000" w:rsidRPr="00000000" w14:paraId="00000068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Таким образом, 81% участников (341) демонстрирует средний и выше среднего уровень знаний </w:t>
      </w:r>
      <w:r w:rsidDel="00000000" w:rsidR="00000000" w:rsidRPr="00000000">
        <w:rPr>
          <w:color w:val="282828"/>
          <w:sz w:val="24"/>
          <w:szCs w:val="24"/>
          <w:shd w:fill="f8f8f8" w:val="clear"/>
          <w:rtl w:val="0"/>
        </w:rPr>
        <w:t xml:space="preserve">о географических и культурных особенностях различных регионов страны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A">
      <w:pPr>
        <w:pageBreakBefore w:val="0"/>
        <w:ind w:left="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ind w:left="708.6614173228347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III. Анализ анкет обратной связи от педагогов учреждений. </w:t>
      </w:r>
    </w:p>
    <w:p w:rsidR="00000000" w:rsidDel="00000000" w:rsidP="00000000" w:rsidRDefault="00000000" w:rsidRPr="00000000" w14:paraId="0000006C">
      <w:pPr>
        <w:pageBreakBefore w:val="0"/>
        <w:ind w:left="708.6614173228347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В опросе приняло участие 27 педагогов из 14 регионов. </w:t>
      </w:r>
    </w:p>
    <w:p w:rsidR="00000000" w:rsidDel="00000000" w:rsidP="00000000" w:rsidRDefault="00000000" w:rsidRPr="00000000" w14:paraId="0000006D">
      <w:pPr>
        <w:pageBreakBefore w:val="0"/>
        <w:ind w:left="708.6614173228347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1"/>
        </w:numPr>
        <w:ind w:left="720" w:hanging="360"/>
        <w:jc w:val="both"/>
        <w:rPr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Мы попросили педагогов оценить полезность курса для воспитанников </w:t>
      </w:r>
      <w:r w:rsidDel="00000000" w:rsidR="00000000" w:rsidRPr="00000000">
        <w:rPr>
          <w:sz w:val="24"/>
          <w:szCs w:val="24"/>
          <w:rtl w:val="0"/>
        </w:rPr>
        <w:t xml:space="preserve">по шкале от одного до пяти, где 1 - минимальное значение показателя, 5 - максимальное значение.</w:t>
      </w:r>
    </w:p>
    <w:p w:rsidR="00000000" w:rsidDel="00000000" w:rsidP="00000000" w:rsidRDefault="00000000" w:rsidRPr="00000000" w14:paraId="0000006F">
      <w:pPr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ind w:left="708.6614173228347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943600" cy="2603500"/>
            <wp:effectExtent b="0" l="0" r="0" t="0"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ind w:left="708.6614173228347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96,3% педагогов (26) отмечают высокую полезность курса (оценки 4 и 5).</w:t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1"/>
        </w:numPr>
        <w:ind w:left="720" w:hanging="360"/>
        <w:jc w:val="both"/>
        <w:rPr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Вовлеченность участников. Мы попросили педагогов ответить, обсуждали ли участники игры после занятий. </w:t>
      </w:r>
    </w:p>
    <w:p w:rsidR="00000000" w:rsidDel="00000000" w:rsidP="00000000" w:rsidRDefault="00000000" w:rsidRPr="00000000" w14:paraId="00000073">
      <w:pPr>
        <w:pageBreakBefore w:val="0"/>
        <w:ind w:left="708.6614173228347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943600" cy="2235200"/>
            <wp:effectExtent b="0" l="0" r="0" t="0"/>
            <wp:docPr id="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88,9%педагогов  (24) отметили, что подростки обсуждают игры, что является показателем интереса к игровому материалу.</w:t>
      </w:r>
    </w:p>
    <w:p w:rsidR="00000000" w:rsidDel="00000000" w:rsidP="00000000" w:rsidRDefault="00000000" w:rsidRPr="00000000" w14:paraId="00000075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IV. Анализ анкет обратной связи от кураторов и волонтеров СО НКО.</w:t>
      </w:r>
    </w:p>
    <w:p w:rsidR="00000000" w:rsidDel="00000000" w:rsidP="00000000" w:rsidRDefault="00000000" w:rsidRPr="00000000" w14:paraId="00000077">
      <w:pPr>
        <w:pageBreakBefore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итогам реализации курса нами был запланирован сбор обратной связи от представителей СО НКО в регионах. </w:t>
      </w:r>
    </w:p>
    <w:p w:rsidR="00000000" w:rsidDel="00000000" w:rsidP="00000000" w:rsidRDefault="00000000" w:rsidRPr="00000000" w14:paraId="00000078">
      <w:pPr>
        <w:pageBreakBefore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08.661417322834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Опрос был анонимным и носил добровольный характер.</w:t>
      </w:r>
    </w:p>
    <w:p w:rsidR="00000000" w:rsidDel="00000000" w:rsidP="00000000" w:rsidRDefault="00000000" w:rsidRPr="00000000" w14:paraId="0000007B">
      <w:pPr>
        <w:ind w:left="708.661417322834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опросе приняли участие 28 человек. 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Удовлетворенность курсом</w:t>
      </w:r>
    </w:p>
    <w:p w:rsidR="00000000" w:rsidDel="00000000" w:rsidP="00000000" w:rsidRDefault="00000000" w:rsidRPr="00000000" w14:paraId="0000007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того, чтобы оценить удовлетворенность курсом мы просили респондентов оценить полезность программы, новизну и сложность материалов по шкале от одного до пяти, где 1 - минимальное значение показателя, 5 - максимальное значение.</w:t>
      </w:r>
    </w:p>
    <w:p w:rsidR="00000000" w:rsidDel="00000000" w:rsidP="00000000" w:rsidRDefault="00000000" w:rsidRPr="00000000" w14:paraId="0000007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2768600"/>
            <wp:effectExtent b="0" l="0" r="0" t="0"/>
            <wp:docPr id="1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92,9 % опрошенных (26) оценили курс как крайне полезный (баллы 4 и 5)</w:t>
      </w:r>
    </w:p>
    <w:p w:rsidR="00000000" w:rsidDel="00000000" w:rsidP="00000000" w:rsidRDefault="00000000" w:rsidRPr="00000000" w14:paraId="0000008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2451100"/>
            <wp:effectExtent b="0" l="0" r="0" t="0"/>
            <wp:docPr id="1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96,4% респондентов (27)  отмечают высокую новизну разработанных в рамках курса игр.</w:t>
      </w:r>
    </w:p>
    <w:p w:rsidR="00000000" w:rsidDel="00000000" w:rsidP="00000000" w:rsidRDefault="00000000" w:rsidRPr="00000000" w14:paraId="0000008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2667000"/>
            <wp:effectExtent b="0" l="0" r="0" t="0"/>
            <wp:docPr id="1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64,3 % представителей СО НКО (18) считают, что материалы игр просты в использовании.</w:t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Вовлеченность подростков в игровые занятия.</w:t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Вопрос о том, насколько включены были участники курса во время занятий позволил нам не только оценить интерес к предложенным играм, но и понять, насколько легко было проводить занятия в учреждениях. Вовлеченность подростков повышает мотивацию представителей СО НКО к участию в альтруистической деятельности.</w:t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2628900"/>
            <wp:effectExtent b="0" l="0" r="0" t="0"/>
            <wp:docPr id="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64,3% опрошенных (18) отмечают высокую и крайне высокую вовлеченность подростков во время проведения игр (баллы 4 и 5).</w:t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Комментарии к курсу.</w:t>
      </w:r>
    </w:p>
    <w:p w:rsidR="00000000" w:rsidDel="00000000" w:rsidP="00000000" w:rsidRDefault="00000000" w:rsidRPr="00000000" w14:paraId="00000093">
      <w:pPr>
        <w:ind w:left="720" w:firstLine="0"/>
        <w:rPr>
          <w:i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1"/>
          <w:szCs w:val="21"/>
          <w:shd w:fill="f8f9fa" w:val="clear"/>
          <w:rtl w:val="0"/>
        </w:rPr>
        <w:t xml:space="preserve">Познавательно было вообще все: каждая игра внесла свой вклад в формировании мировоззрения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720" w:firstLine="0"/>
        <w:rPr>
          <w:i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720" w:firstLine="0"/>
        <w:rPr>
          <w:i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1"/>
          <w:szCs w:val="21"/>
          <w:shd w:fill="f8f9fa" w:val="clear"/>
          <w:rtl w:val="0"/>
        </w:rPr>
        <w:t xml:space="preserve">С географией всегда сложнее,ещё учитывая что все учреждения в нашем регионе, принимающие участие в проекте-это для детей с ОВЗ,а у них не полный курс идёт в школе и иногда им не хватало элементарных знаний на что можно опереться.Приходилось дополнительно очень многое рассказывать и объяснять. Но мы справились. Благодаря этому курсу,уверена,что они пополнили свои знания!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720" w:firstLine="0"/>
        <w:rPr>
          <w:i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720" w:firstLine="0"/>
        <w:rPr>
          <w:i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1"/>
          <w:szCs w:val="21"/>
          <w:shd w:fill="f8f9fa" w:val="clear"/>
          <w:rtl w:val="0"/>
        </w:rPr>
        <w:t xml:space="preserve">Чем знамениты (заняты) были разные регионы, и как сейчас - мои откровения. Оказалось, что я многого не знаю. И это плюс разработчикам. Найти варианты "узнавания" нашей страны максимально отличающиеся друг от друга - разная динамика, идеи от игры к игре - задача непростая, но она реализована - спасибо. То, как откровения появлялись у ребят - отдельная тема, это прекрасные наблюдения.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720" w:firstLine="0"/>
        <w:rPr>
          <w:i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720" w:firstLine="0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720" w:firstLine="0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Выводы: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ind w:left="720" w:firstLine="0"/>
        <w:jc w:val="center"/>
        <w:rPr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Выводы</w:t>
      </w:r>
    </w:p>
    <w:p w:rsidR="00000000" w:rsidDel="00000000" w:rsidP="00000000" w:rsidRDefault="00000000" w:rsidRPr="00000000" w14:paraId="000000A0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Курс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 оказал положительное влияние на мотивацию учебной деятельности:</w:t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2"/>
        </w:numPr>
        <w:ind w:left="1440" w:hanging="36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Повысился интерес к учебе.</w:t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2"/>
        </w:numPr>
        <w:ind w:left="1440" w:hanging="36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Стало легче выполнять домашние задания.</w:t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2"/>
        </w:numPr>
        <w:ind w:left="1440" w:hanging="36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Повысилось желание искать новую информацию.</w:t>
      </w:r>
    </w:p>
    <w:p w:rsidR="00000000" w:rsidDel="00000000" w:rsidP="00000000" w:rsidRDefault="00000000" w:rsidRPr="00000000" w14:paraId="000000A4">
      <w:pPr>
        <w:pageBreakBefore w:val="0"/>
        <w:ind w:left="708.6614173228347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Возрос уровень эрудированности участников. </w:t>
      </w:r>
    </w:p>
    <w:p w:rsidR="00000000" w:rsidDel="00000000" w:rsidP="00000000" w:rsidRDefault="00000000" w:rsidRPr="00000000" w14:paraId="000000A5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Интерактивные методы обучения являются актуальными для подростков и вызывают у них доверие. </w:t>
      </w:r>
    </w:p>
    <w:p w:rsidR="00000000" w:rsidDel="00000000" w:rsidP="00000000" w:rsidRDefault="00000000" w:rsidRPr="00000000" w14:paraId="000000A6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Участие в межрегиональных онлайн мероприятиях также повышает включенность подростков в образовательный процесс за счет расширения круга контактов и возможности сравнить свои знания с другими участниками программы. </w:t>
      </w:r>
    </w:p>
    <w:p w:rsidR="00000000" w:rsidDel="00000000" w:rsidP="00000000" w:rsidRDefault="00000000" w:rsidRPr="00000000" w14:paraId="000000A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Значимая часть педагогов и представителей СО НКО удовлетворена качеством курса и настроена на дальнейшая сотрудничество с организацией.</w:t>
      </w:r>
    </w:p>
    <w:p w:rsidR="00000000" w:rsidDel="00000000" w:rsidP="00000000" w:rsidRDefault="00000000" w:rsidRPr="00000000" w14:paraId="000000A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Аналогичные курсы могут быть разработаны и реализованы в регионах</w:t>
      </w:r>
    </w:p>
    <w:p w:rsidR="00000000" w:rsidDel="00000000" w:rsidP="00000000" w:rsidRDefault="00000000" w:rsidRPr="00000000" w14:paraId="000000AA">
      <w:pPr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При разработке материалов к играм особое внимание необходимо обратить на простоту и доступность изложения материала.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ind w:left="72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ind w:left="0" w:firstLine="0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0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2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22" Type="http://schemas.openxmlformats.org/officeDocument/2006/relationships/image" Target="media/image8.png"/><Relationship Id="rId21" Type="http://schemas.openxmlformats.org/officeDocument/2006/relationships/image" Target="media/image19.png"/><Relationship Id="rId24" Type="http://schemas.openxmlformats.org/officeDocument/2006/relationships/image" Target="media/image11.png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6.png"/><Relationship Id="rId8" Type="http://schemas.openxmlformats.org/officeDocument/2006/relationships/image" Target="media/image2.png"/><Relationship Id="rId11" Type="http://schemas.openxmlformats.org/officeDocument/2006/relationships/image" Target="media/image4.png"/><Relationship Id="rId10" Type="http://schemas.openxmlformats.org/officeDocument/2006/relationships/image" Target="media/image10.png"/><Relationship Id="rId13" Type="http://schemas.openxmlformats.org/officeDocument/2006/relationships/image" Target="media/image18.png"/><Relationship Id="rId12" Type="http://schemas.openxmlformats.org/officeDocument/2006/relationships/image" Target="media/image7.png"/><Relationship Id="rId15" Type="http://schemas.openxmlformats.org/officeDocument/2006/relationships/image" Target="media/image12.png"/><Relationship Id="rId14" Type="http://schemas.openxmlformats.org/officeDocument/2006/relationships/image" Target="media/image15.png"/><Relationship Id="rId17" Type="http://schemas.openxmlformats.org/officeDocument/2006/relationships/image" Target="media/image16.png"/><Relationship Id="rId16" Type="http://schemas.openxmlformats.org/officeDocument/2006/relationships/image" Target="media/image17.png"/><Relationship Id="rId19" Type="http://schemas.openxmlformats.org/officeDocument/2006/relationships/image" Target="media/image3.png"/><Relationship Id="rId1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