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Аналитический отчет по итогам сбора обратной связи от представителей СО НКО.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По итогам реализации программы нами был запланирован сбор обратной связи от представителей СО НКО в регионах. В связи с неблагополучной эпидемиологической ситуацией программа не была реализована полностью, но мы посчитали возможным устроить опрос сотрудников НКО, т.к. они смогли провести половину игр и могли дать обратную связь нам, как разработчикам программы.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Для опроса была разработана анкета, которую можно было заполнить онлайн в гуглформе.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Опрос был анонимным и носил добровольный характер.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В опросе приняли участие 56 человек из 13 регионов.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Удовлетворенность программой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Для того, чтобы оценить удовлетворенность программой мы просили респондентов оценить полезность программы, новизну и сложность материалов по шкале от одного до пяти, где 1 - минимальное значение показателя, 5 - максимальное значение.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92,8 % опрошенных оценили программу как полезную и крайне полезную (баллы 4 и 5)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022600"/>
            <wp:effectExtent b="0" l="0" r="0" t="0"/>
            <wp:docPr descr="Forms response chart. Question title: Оцените, пожалуйста, насколько программа “Золотой век” была полезна, с вашей точки зрения. Number of responses: 56 responses." id="3" name="image2.png"/>
            <a:graphic>
              <a:graphicData uri="http://schemas.openxmlformats.org/drawingml/2006/picture">
                <pic:pic>
                  <pic:nvPicPr>
                    <pic:cNvPr descr="Forms response chart. Question title: Оцените, пожалуйста, насколько программа “Золотой век” была полезна, с вашей точки зрения. Number of responses: 56 responses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98,2% респондентов  отмечают высокую новизну разработанных в рамках программы игр.</w:t>
      </w:r>
      <w:r w:rsidDel="00000000" w:rsidR="00000000" w:rsidRPr="00000000">
        <w:rPr/>
        <w:drawing>
          <wp:inline distB="114300" distT="114300" distL="114300" distR="114300">
            <wp:extent cx="5943600" cy="2819400"/>
            <wp:effectExtent b="0" l="0" r="0" t="0"/>
            <wp:docPr descr="Forms response chart. Question title: Оцените новизну разработанных для программы игр. Number of responses: 56 responses." id="4" name="image4.png"/>
            <a:graphic>
              <a:graphicData uri="http://schemas.openxmlformats.org/drawingml/2006/picture">
                <pic:pic>
                  <pic:nvPicPr>
                    <pic:cNvPr descr="Forms response chart. Question title: Оцените новизну разработанных для программы игр. Number of responses: 56 responses.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75% представителей СО НКО считают, что материалы игр просты в использовании.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819400"/>
            <wp:effectExtent b="0" l="0" r="0" t="0"/>
            <wp:docPr descr="Forms response chart. Question title: Оцените, насколько просто вам было разобраться в материалах и инструкциях  к играм. Number of responses: 56 responses." id="2" name="image3.png"/>
            <a:graphic>
              <a:graphicData uri="http://schemas.openxmlformats.org/drawingml/2006/picture">
                <pic:pic>
                  <pic:nvPicPr>
                    <pic:cNvPr descr="Forms response chart. Question title: Оцените, насколько просто вам было разобраться в материалах и инструкциях  к играм. Number of responses: 56 responses.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Вовлеченность подростков в игровые занятия.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Вопрос о том, насколько включены были участники программы во время занятий позволил нам не только оценить интерес к предложенным играм, но и понять, насколько легко было проводить занятия в учреждениях. Вовлеченность подростков повышает мотивацию представителей СО НКО к участию в альтруистической деятельности.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85,7% опрошенных отмечают высокую и крайне высокую вовлеченность подростков во время проведения игр (баллы 4 и 5).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819400"/>
            <wp:effectExtent b="0" l="0" r="0" t="0"/>
            <wp:docPr descr="Forms response chart. Question title: Оцените, в среднем,  заинтересованность подростков во время игр. Number of responses: 56 responses." id="1" name="image1.png"/>
            <a:graphic>
              <a:graphicData uri="http://schemas.openxmlformats.org/drawingml/2006/picture">
                <pic:pic>
                  <pic:nvPicPr>
                    <pic:cNvPr descr="Forms response chart. Question title: Оцените, в среднем,  заинтересованность подростков во время игр. Number of responses: 56 responses.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Комментарии к программе.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Мы получили 40 комментариев, из них 4 критических (три, связанных со сложностью материала, и один касался организационной стороны реализации программы). Остальные комментарии являются положительными отзывами о программе.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b w:val="1"/>
          <w:rtl w:val="0"/>
        </w:rPr>
        <w:t xml:space="preserve">Выводы: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Значимая часть представителей СО НКО удовлетворена качеством программы и настроена на дальнейшая сотрудничество с организацией.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Аналогичные программы могут быть разработаны и реализованы в регионах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При разработке материалов к играм особое внимание необходимо обратить на простоту и доступность изложения материала.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